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3D516" w14:textId="77777777" w:rsidR="00306C55" w:rsidRDefault="00000000">
      <w:pPr>
        <w:widowControl/>
        <w:spacing w:after="303" w:line="259" w:lineRule="auto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Casein kinase 2 interacts with and phosphorylates ataxin-3</w:t>
      </w:r>
    </w:p>
    <w:p w14:paraId="6CF275D2" w14:textId="77777777" w:rsidR="00306C55" w:rsidRDefault="00000000">
      <w:pPr>
        <w:widowControl/>
        <w:spacing w:after="360" w:line="240" w:lineRule="auto"/>
        <w:ind w:left="-17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Rui-Song TAO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1,2</w:t>
      </w:r>
      <w:r>
        <w:rPr>
          <w:rFonts w:ascii="Times New Roman" w:eastAsia="Times New Roman" w:hAnsi="Times New Roman" w:cs="Times New Roman"/>
          <w:color w:val="000000"/>
          <w:sz w:val="21"/>
        </w:rPr>
        <w:t>, Er-Kang FEI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1,*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</w:rPr>
        <w:t>, Zheng YING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</w:rPr>
        <w:t>, Hong-Feng WANG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</w:rPr>
        <w:t>, Guang-Hui WANG</w:t>
      </w:r>
      <w:r>
        <w:rPr>
          <w:rFonts w:ascii="Times New Roman" w:eastAsia="Times New Roman" w:hAnsi="Times New Roman" w:cs="Times New Roman"/>
          <w:color w:val="000000"/>
          <w:sz w:val="21"/>
          <w:vertAlign w:val="superscript"/>
        </w:rPr>
        <w:t>1</w:t>
      </w:r>
    </w:p>
    <w:p w14:paraId="2C9EE869" w14:textId="77777777" w:rsidR="00306C55" w:rsidRDefault="00000000">
      <w:pPr>
        <w:widowControl/>
        <w:spacing w:after="55" w:line="259" w:lineRule="auto"/>
        <w:ind w:left="-5" w:hanging="10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i/>
          <w:color w:val="000000"/>
          <w:sz w:val="21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Laboratory of Molecular Neuropathology, Hefei National Laboratory for Physical Sciences at</w:t>
      </w:r>
    </w:p>
    <w:p w14:paraId="6746C601" w14:textId="77777777" w:rsidR="00306C55" w:rsidRDefault="00000000">
      <w:pPr>
        <w:widowControl/>
        <w:spacing w:after="240" w:line="240" w:lineRule="auto"/>
        <w:ind w:left="-6" w:hanging="11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i/>
          <w:color w:val="000000"/>
          <w:sz w:val="21"/>
        </w:rPr>
        <w:t>Microscale and School of Life Sciences, University of Science and Technology of China, Hefei 230027, China</w:t>
      </w:r>
    </w:p>
    <w:p w14:paraId="2127079B" w14:textId="77777777" w:rsidR="00306C55" w:rsidRDefault="00000000">
      <w:pPr>
        <w:widowControl/>
        <w:spacing w:after="240" w:line="240" w:lineRule="auto"/>
        <w:ind w:left="-6" w:hanging="11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i/>
          <w:color w:val="000000"/>
          <w:sz w:val="21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Department of Biology, Hefei Teaching College, Hefei 230061, China</w:t>
      </w:r>
    </w:p>
    <w:p w14:paraId="715B86B8" w14:textId="77777777" w:rsidR="00306C55" w:rsidRDefault="00000000">
      <w:pPr>
        <w:widowControl/>
        <w:spacing w:after="240" w:line="240" w:lineRule="auto"/>
        <w:ind w:left="-6" w:hanging="11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>*Corresponding author</w:t>
      </w:r>
    </w:p>
    <w:p w14:paraId="5F4C30A3" w14:textId="77777777" w:rsidR="00306C55" w:rsidRDefault="00000000">
      <w:pPr>
        <w:widowControl/>
        <w:spacing w:after="240" w:line="240" w:lineRule="auto"/>
        <w:ind w:left="-6" w:hanging="11"/>
        <w:rPr>
          <w:rFonts w:ascii="Times New Roman" w:eastAsia="Times New Roman" w:hAnsi="Times New Roman" w:cs="Times New Roman"/>
          <w:color w:val="000000"/>
          <w:sz w:val="21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1"/>
        </w:rPr>
        <w:t>E-mail:ericfee@ustc.edu.cn</w:t>
      </w:r>
      <w:proofErr w:type="spellEnd"/>
      <w:proofErr w:type="gramEnd"/>
    </w:p>
    <w:p w14:paraId="08F2B75B" w14:textId="77777777" w:rsidR="00306C55" w:rsidRDefault="00000000">
      <w:pPr>
        <w:widowControl/>
        <w:spacing w:after="281" w:line="400" w:lineRule="exact"/>
        <w:jc w:val="both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 xml:space="preserve">Abstract: Objective 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Machado-Joseph disease (MJD)/Spinocerebellar ataxia type 3 (SCA3) is an autosomal dominant neurodegenerative disorder caused by an expansion of polyglutamine tract near the C-terminus of the 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 xml:space="preserve">MJD1 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gene product, ataxin-3. The precise mechanism of the MJD/SCA3 pathogenesis remains unclear. A growing body of evidence demonstrates that phosphorylation plays an important role in the pathogenesis of many neurodegenerative diseases. However, few kinases are known to phosphorylate ataxin-3. The present study is to explore whether ataxin-3 is a substrate of casein kinase 2 (CK2). 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 xml:space="preserve">Methods </w:t>
      </w:r>
      <w:r>
        <w:rPr>
          <w:rFonts w:ascii="Times New Roman" w:eastAsia="Times New Roman" w:hAnsi="Times New Roman" w:cs="Times New Roman"/>
          <w:color w:val="000000"/>
          <w:sz w:val="21"/>
        </w:rPr>
        <w:t>The interaction between ataxin-3 and CK2 was identified by glutathione S-transferase (GST) pull-down assay and co-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</w:rPr>
        <w:t>immunoprecipition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</w:rPr>
        <w:t xml:space="preserve"> assay. The phosphorylation of ataxin-3 by CK2 was measured by 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 xml:space="preserve">in vitro 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phosphorylation assays. 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 xml:space="preserve">Results 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(1) Both wild type and expanded ataxin-3 interacted with CK2α and CK2β </w:t>
      </w:r>
      <w:r>
        <w:rPr>
          <w:rFonts w:ascii="Times New Roman" w:eastAsia="Times New Roman" w:hAnsi="Times New Roman" w:cs="Times New Roman"/>
          <w:i/>
          <w:color w:val="000000"/>
          <w:sz w:val="21"/>
        </w:rPr>
        <w:t>in vitro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. (2) In 293 cells, both wild type and expanded ataxin-3 interacted with CK2b, http://precision-health.sibs.ac.cn/csn2019/abstract.phpbut not CK2a. (3) CK2 phosphorylated wild type and expanded ataxin-3. 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 xml:space="preserve">Conclusion </w:t>
      </w:r>
      <w:r>
        <w:rPr>
          <w:rFonts w:ascii="Times New Roman" w:eastAsia="Times New Roman" w:hAnsi="Times New Roman" w:cs="Times New Roman"/>
          <w:color w:val="000000"/>
          <w:sz w:val="21"/>
        </w:rPr>
        <w:t>Ataxin-3 is a substrate of protein kinase CK2.</w:t>
      </w:r>
    </w:p>
    <w:p w14:paraId="6270E53D" w14:textId="77777777" w:rsidR="00306C55" w:rsidRDefault="00000000">
      <w:pPr>
        <w:widowControl/>
        <w:spacing w:after="600" w:line="400" w:lineRule="exact"/>
        <w:ind w:left="-6" w:hanging="11"/>
        <w:rPr>
          <w:rFonts w:ascii="Times New Roman" w:eastAsia="Times New Roman" w:hAnsi="Times New Roman" w:cs="Times New Roman"/>
          <w:color w:val="000000"/>
          <w:sz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 xml:space="preserve">Keywords: </w:t>
      </w:r>
      <w:r>
        <w:rPr>
          <w:rFonts w:ascii="Times New Roman" w:eastAsia="Times New Roman" w:hAnsi="Times New Roman" w:cs="Times New Roman"/>
          <w:color w:val="000000"/>
          <w:sz w:val="21"/>
        </w:rPr>
        <w:t>Machado-Joseph disease/spinocerebellar ataxia type 3; ataxin-3; casein kinase 2; phosphorylation</w:t>
      </w:r>
    </w:p>
    <w:p w14:paraId="2017446E" w14:textId="77777777" w:rsidR="00306C55" w:rsidRDefault="00000000">
      <w:pPr>
        <w:widowControl/>
        <w:spacing w:afterLines="50" w:after="156" w:line="400" w:lineRule="exact"/>
        <w:ind w:left="-6" w:right="4933" w:hanging="11"/>
        <w:rPr>
          <w:rFonts w:ascii="Times New Roman" w:hAnsi="Times New Roman" w:cs="Times New Roman"/>
          <w:color w:val="000000"/>
          <w:sz w:val="21"/>
        </w:rPr>
      </w:pPr>
      <w:r>
        <w:rPr>
          <w:rFonts w:ascii="宋体" w:eastAsia="宋体" w:hAnsi="宋体" w:cs="宋体"/>
          <w:color w:val="000000"/>
          <w:sz w:val="21"/>
        </w:rPr>
        <w:t>标题：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3 </w:t>
      </w:r>
      <w:r>
        <w:rPr>
          <w:rFonts w:ascii="宋体" w:eastAsia="宋体" w:hAnsi="宋体" w:cs="宋体"/>
          <w:color w:val="000000"/>
          <w:sz w:val="21"/>
        </w:rPr>
        <w:t xml:space="preserve">号 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Times New Roman </w:t>
      </w:r>
    </w:p>
    <w:p w14:paraId="37A8FFAF" w14:textId="77777777" w:rsidR="00306C55" w:rsidRDefault="00000000">
      <w:pPr>
        <w:widowControl/>
        <w:spacing w:afterLines="50" w:after="156" w:line="400" w:lineRule="exact"/>
        <w:ind w:left="-6" w:right="4933" w:hanging="11"/>
        <w:rPr>
          <w:rFonts w:ascii="Times New Roman" w:hAnsi="Times New Roman" w:cs="Times New Roman"/>
          <w:color w:val="000000"/>
          <w:sz w:val="21"/>
        </w:rPr>
      </w:pPr>
      <w:r>
        <w:rPr>
          <w:rFonts w:ascii="宋体" w:eastAsia="宋体" w:hAnsi="宋体" w:cs="宋体"/>
          <w:color w:val="000000"/>
          <w:sz w:val="21"/>
        </w:rPr>
        <w:t>作者：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5 </w:t>
      </w:r>
      <w:r>
        <w:rPr>
          <w:rFonts w:ascii="宋体" w:eastAsia="宋体" w:hAnsi="宋体" w:cs="宋体"/>
          <w:color w:val="000000"/>
          <w:sz w:val="21"/>
        </w:rPr>
        <w:t xml:space="preserve">号 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Times New Roman </w:t>
      </w:r>
    </w:p>
    <w:p w14:paraId="6965C09A" w14:textId="77777777" w:rsidR="00306C55" w:rsidRDefault="00000000">
      <w:pPr>
        <w:widowControl/>
        <w:spacing w:afterLines="50" w:after="156" w:line="400" w:lineRule="exact"/>
        <w:ind w:left="-6" w:right="4933" w:hanging="11"/>
        <w:rPr>
          <w:rFonts w:ascii="宋体" w:eastAsia="宋体" w:hAnsi="宋体" w:cs="宋体"/>
          <w:color w:val="000000"/>
          <w:sz w:val="21"/>
        </w:rPr>
      </w:pPr>
      <w:r>
        <w:rPr>
          <w:rFonts w:ascii="宋体" w:eastAsia="宋体" w:hAnsi="宋体" w:cs="宋体"/>
          <w:color w:val="000000"/>
          <w:sz w:val="21"/>
        </w:rPr>
        <w:t>单位：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5 </w:t>
      </w:r>
      <w:r>
        <w:rPr>
          <w:rFonts w:ascii="宋体" w:eastAsia="宋体" w:hAnsi="宋体" w:cs="宋体"/>
          <w:color w:val="000000"/>
          <w:sz w:val="21"/>
        </w:rPr>
        <w:t xml:space="preserve">号 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Times New Roman </w:t>
      </w:r>
      <w:r>
        <w:rPr>
          <w:rFonts w:ascii="Times New Roman" w:hAnsi="Times New Roman" w:cs="Times New Roman"/>
          <w:color w:val="000000"/>
          <w:sz w:val="21"/>
        </w:rPr>
        <w:t xml:space="preserve"> </w:t>
      </w:r>
      <w:r>
        <w:rPr>
          <w:rFonts w:ascii="宋体" w:eastAsia="宋体" w:hAnsi="宋体" w:cs="宋体"/>
          <w:color w:val="000000"/>
          <w:sz w:val="21"/>
        </w:rPr>
        <w:t>斜体</w:t>
      </w:r>
    </w:p>
    <w:p w14:paraId="7F9AC096" w14:textId="77777777" w:rsidR="00306C55" w:rsidRDefault="00000000">
      <w:pPr>
        <w:spacing w:afterLines="50" w:after="156" w:line="400" w:lineRule="exact"/>
      </w:pPr>
      <w:r>
        <w:rPr>
          <w:rFonts w:ascii="宋体" w:eastAsia="宋体" w:hAnsi="宋体" w:cs="宋体"/>
          <w:color w:val="000000"/>
          <w:sz w:val="21"/>
        </w:rPr>
        <w:t>正文：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5 </w:t>
      </w:r>
      <w:r>
        <w:rPr>
          <w:rFonts w:ascii="宋体" w:eastAsia="宋体" w:hAnsi="宋体" w:cs="宋体"/>
          <w:color w:val="000000"/>
          <w:sz w:val="21"/>
        </w:rPr>
        <w:t xml:space="preserve">号 </w:t>
      </w:r>
      <w:r>
        <w:rPr>
          <w:rFonts w:ascii="Times New Roman" w:eastAsia="Times New Roman" w:hAnsi="Times New Roman" w:cs="Times New Roman"/>
          <w:color w:val="000000"/>
          <w:sz w:val="21"/>
        </w:rPr>
        <w:t>Times New Roman</w:t>
      </w:r>
      <w:r>
        <w:rPr>
          <w:rFonts w:ascii="Times New Roman" w:hAnsi="Times New Roman" w:cs="Times New Roman"/>
          <w:color w:val="000000"/>
          <w:sz w:val="21"/>
        </w:rPr>
        <w:t xml:space="preserve">   </w:t>
      </w:r>
    </w:p>
    <w:p w14:paraId="6EDB493A" w14:textId="77777777" w:rsidR="00306C55" w:rsidRDefault="00306C55">
      <w:pPr>
        <w:spacing w:afterLines="50" w:after="156"/>
      </w:pPr>
    </w:p>
    <w:p w14:paraId="6D953752" w14:textId="05DAD0E9" w:rsidR="00306C55" w:rsidRDefault="00000000" w:rsidP="006F7355">
      <w:pPr>
        <w:spacing w:line="400" w:lineRule="exact"/>
        <w:rPr>
          <w:rFonts w:ascii="Times New Roman" w:eastAsia="宋体" w:hAnsi="Times New Roman" w:cs="Times New Roman"/>
          <w:b/>
          <w:bCs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lastRenderedPageBreak/>
        <w:t>参与博士</w:t>
      </w:r>
      <w:r>
        <w:rPr>
          <w:rFonts w:ascii="Times New Roman" w:eastAsia="宋体" w:hAnsi="Times New Roman" w:cs="Times New Roman"/>
          <w:sz w:val="21"/>
          <w:szCs w:val="21"/>
        </w:rPr>
        <w:t>/</w:t>
      </w:r>
      <w:r>
        <w:rPr>
          <w:rFonts w:ascii="Times New Roman" w:eastAsia="宋体" w:hAnsi="Times New Roman" w:cs="Times New Roman"/>
          <w:sz w:val="21"/>
          <w:szCs w:val="21"/>
        </w:rPr>
        <w:t>博士后论坛的投稿人，需补充</w:t>
      </w:r>
      <w:r w:rsidR="003C1070">
        <w:rPr>
          <w:rFonts w:ascii="Times New Roman" w:eastAsia="宋体" w:hAnsi="Times New Roman" w:cs="Times New Roman" w:hint="eastAsia"/>
          <w:sz w:val="21"/>
          <w:szCs w:val="21"/>
        </w:rPr>
        <w:t>个人简介和</w:t>
      </w:r>
      <w:r>
        <w:rPr>
          <w:rFonts w:ascii="Times New Roman" w:eastAsia="宋体" w:hAnsi="Times New Roman" w:cs="Times New Roman"/>
          <w:sz w:val="21"/>
          <w:szCs w:val="21"/>
        </w:rPr>
        <w:t>前期代表性研究成果，具体</w:t>
      </w:r>
      <w:r w:rsidR="003C1070">
        <w:rPr>
          <w:rFonts w:ascii="Times New Roman" w:eastAsia="宋体" w:hAnsi="Times New Roman" w:cs="Times New Roman" w:hint="eastAsia"/>
          <w:sz w:val="21"/>
          <w:szCs w:val="21"/>
        </w:rPr>
        <w:t>要求及</w:t>
      </w:r>
      <w:r>
        <w:rPr>
          <w:rFonts w:ascii="Times New Roman" w:eastAsia="宋体" w:hAnsi="Times New Roman" w:cs="Times New Roman"/>
          <w:sz w:val="21"/>
          <w:szCs w:val="21"/>
        </w:rPr>
        <w:t>模板如下；</w:t>
      </w:r>
      <w:r>
        <w:rPr>
          <w:rFonts w:ascii="Times New Roman" w:eastAsia="宋体" w:hAnsi="Times New Roman" w:cs="Times New Roman"/>
          <w:b/>
          <w:bCs/>
          <w:sz w:val="21"/>
          <w:szCs w:val="21"/>
        </w:rPr>
        <w:t>仅参与墙报交流的投稿人无需填写。</w:t>
      </w:r>
    </w:p>
    <w:p w14:paraId="0A34251F" w14:textId="1400070D" w:rsidR="002E70AB" w:rsidRPr="002E70AB" w:rsidRDefault="003C1070" w:rsidP="00881352">
      <w:pPr>
        <w:spacing w:line="400" w:lineRule="exact"/>
        <w:rPr>
          <w:rFonts w:ascii="Times New Roman" w:eastAsia="宋体" w:hAnsi="Times New Roman" w:cs="Times New Roman" w:hint="eastAsia"/>
          <w:sz w:val="21"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 w:val="21"/>
          <w:szCs w:val="21"/>
        </w:rPr>
        <w:t>个人简介：</w:t>
      </w:r>
      <w:r w:rsidRPr="006F7355">
        <w:rPr>
          <w:rFonts w:ascii="Times New Roman" w:eastAsia="宋体" w:hAnsi="Times New Roman" w:cs="Times New Roman" w:hint="eastAsia"/>
          <w:sz w:val="21"/>
          <w:szCs w:val="21"/>
        </w:rPr>
        <w:t>250</w:t>
      </w:r>
      <w:r w:rsidRPr="006F7355">
        <w:rPr>
          <w:rFonts w:ascii="Times New Roman" w:eastAsia="宋体" w:hAnsi="Times New Roman" w:cs="Times New Roman" w:hint="eastAsia"/>
          <w:sz w:val="21"/>
          <w:szCs w:val="21"/>
        </w:rPr>
        <w:t>字</w:t>
      </w:r>
    </w:p>
    <w:p w14:paraId="7EA823C4" w14:textId="3D6E7B52" w:rsidR="003C1070" w:rsidRDefault="003C1070" w:rsidP="00881352">
      <w:pPr>
        <w:spacing w:after="120" w:line="400" w:lineRule="exact"/>
        <w:rPr>
          <w:rFonts w:ascii="Times New Roman" w:eastAsia="宋体" w:hAnsi="Times New Roman" w:cs="Times New Roman"/>
          <w:b/>
          <w:bCs/>
          <w:sz w:val="21"/>
          <w:szCs w:val="21"/>
        </w:rPr>
      </w:pPr>
      <w:r w:rsidRPr="003C1070">
        <w:rPr>
          <w:rFonts w:ascii="Times New Roman" w:eastAsia="宋体" w:hAnsi="Times New Roman" w:cs="Times New Roman"/>
          <w:b/>
          <w:bCs/>
          <w:sz w:val="21"/>
          <w:szCs w:val="21"/>
        </w:rPr>
        <w:t>前期代表性研究成果</w:t>
      </w:r>
      <w:r w:rsidRPr="003C1070">
        <w:rPr>
          <w:rFonts w:ascii="Times New Roman" w:eastAsia="宋体" w:hAnsi="Times New Roman" w:cs="Times New Roman" w:hint="eastAsia"/>
          <w:b/>
          <w:bCs/>
          <w:sz w:val="21"/>
          <w:szCs w:val="21"/>
        </w:rPr>
        <w:t>：</w:t>
      </w:r>
    </w:p>
    <w:p w14:paraId="34702BF3" w14:textId="43993726" w:rsidR="006F7355" w:rsidRDefault="006F7355" w:rsidP="00881352">
      <w:pPr>
        <w:pStyle w:val="ae"/>
        <w:numPr>
          <w:ilvl w:val="0"/>
          <w:numId w:val="1"/>
        </w:numPr>
        <w:spacing w:beforeLines="50" w:before="156" w:after="0" w:line="400" w:lineRule="exact"/>
        <w:ind w:left="442" w:hanging="442"/>
        <w:rPr>
          <w:rFonts w:ascii="Times New Roman" w:eastAsia="宋体" w:hAnsi="Times New Roman" w:cs="Times New Roman"/>
          <w:b/>
          <w:bCs/>
          <w:sz w:val="21"/>
          <w:szCs w:val="21"/>
        </w:rPr>
      </w:pPr>
      <w:r w:rsidRPr="006F7355">
        <w:rPr>
          <w:rFonts w:ascii="Times New Roman" w:eastAsia="宋体" w:hAnsi="Times New Roman" w:cs="Times New Roman"/>
          <w:b/>
          <w:bCs/>
          <w:sz w:val="21"/>
          <w:szCs w:val="21"/>
        </w:rPr>
        <w:t>论文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916"/>
        <w:gridCol w:w="1347"/>
        <w:gridCol w:w="2977"/>
        <w:gridCol w:w="2268"/>
        <w:gridCol w:w="788"/>
      </w:tblGrid>
      <w:tr w:rsidR="006F7355" w14:paraId="5F8239D2" w14:textId="77777777" w:rsidTr="002E70AB">
        <w:tc>
          <w:tcPr>
            <w:tcW w:w="552" w:type="pct"/>
            <w:vAlign w:val="center"/>
          </w:tcPr>
          <w:p w14:paraId="493479EC" w14:textId="79128FDB" w:rsidR="006F7355" w:rsidRDefault="006F7355" w:rsidP="008813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812" w:type="pct"/>
            <w:vAlign w:val="center"/>
          </w:tcPr>
          <w:p w14:paraId="7D362EAB" w14:textId="05C34605" w:rsidR="006F7355" w:rsidRDefault="006F7355" w:rsidP="008813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</w:rPr>
              <w:t>作者类型（第一作者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</w:rPr>
              <w:t>通讯作者）</w:t>
            </w:r>
          </w:p>
        </w:tc>
        <w:tc>
          <w:tcPr>
            <w:tcW w:w="1794" w:type="pct"/>
            <w:vAlign w:val="center"/>
          </w:tcPr>
          <w:p w14:paraId="22A95175" w14:textId="51B4B989" w:rsidR="006F7355" w:rsidRDefault="006F7355" w:rsidP="008813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</w:rPr>
              <w:t>题目</w:t>
            </w:r>
          </w:p>
        </w:tc>
        <w:tc>
          <w:tcPr>
            <w:tcW w:w="1367" w:type="pct"/>
            <w:vAlign w:val="center"/>
          </w:tcPr>
          <w:p w14:paraId="54A6A861" w14:textId="519AE7DD" w:rsidR="006F7355" w:rsidRDefault="006F7355" w:rsidP="008813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</w:rPr>
              <w:t>期刊</w:t>
            </w:r>
          </w:p>
        </w:tc>
        <w:tc>
          <w:tcPr>
            <w:tcW w:w="475" w:type="pct"/>
            <w:vAlign w:val="center"/>
          </w:tcPr>
          <w:p w14:paraId="189677E5" w14:textId="13AD4495" w:rsidR="006F7355" w:rsidRDefault="006F7355" w:rsidP="008813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</w:rPr>
              <w:t>年份</w:t>
            </w:r>
          </w:p>
        </w:tc>
      </w:tr>
      <w:tr w:rsidR="006F7355" w14:paraId="2ACD83C5" w14:textId="77777777" w:rsidTr="002E70AB">
        <w:tc>
          <w:tcPr>
            <w:tcW w:w="552" w:type="pct"/>
            <w:vAlign w:val="center"/>
          </w:tcPr>
          <w:p w14:paraId="21F11EE2" w14:textId="792CD54D" w:rsidR="006F7355" w:rsidRDefault="006F7355" w:rsidP="008813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812" w:type="pct"/>
            <w:vAlign w:val="center"/>
          </w:tcPr>
          <w:p w14:paraId="3A3A85AA" w14:textId="77777777" w:rsidR="006F7355" w:rsidRPr="00AD2403" w:rsidRDefault="006F7355" w:rsidP="008813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94" w:type="pct"/>
            <w:vAlign w:val="center"/>
          </w:tcPr>
          <w:p w14:paraId="7226A21F" w14:textId="77777777" w:rsidR="006F7355" w:rsidRPr="00AD2403" w:rsidRDefault="006F7355" w:rsidP="008813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367" w:type="pct"/>
            <w:vAlign w:val="center"/>
          </w:tcPr>
          <w:p w14:paraId="4F267785" w14:textId="77777777" w:rsidR="006F7355" w:rsidRPr="00AD2403" w:rsidRDefault="006F7355" w:rsidP="008813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475" w:type="pct"/>
            <w:vAlign w:val="center"/>
          </w:tcPr>
          <w:p w14:paraId="11C417B0" w14:textId="77777777" w:rsidR="006F7355" w:rsidRPr="00AD2403" w:rsidRDefault="006F7355" w:rsidP="008813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6F7355" w14:paraId="1EC4DC9F" w14:textId="77777777" w:rsidTr="002E70AB">
        <w:tc>
          <w:tcPr>
            <w:tcW w:w="552" w:type="pct"/>
            <w:vAlign w:val="center"/>
          </w:tcPr>
          <w:p w14:paraId="2944E553" w14:textId="47FFEE9F" w:rsidR="006F7355" w:rsidRDefault="006F7355" w:rsidP="008813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812" w:type="pct"/>
            <w:vAlign w:val="center"/>
          </w:tcPr>
          <w:p w14:paraId="531E62F0" w14:textId="77777777" w:rsidR="006F7355" w:rsidRPr="00AD2403" w:rsidRDefault="006F7355" w:rsidP="008813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794" w:type="pct"/>
            <w:vAlign w:val="center"/>
          </w:tcPr>
          <w:p w14:paraId="4FC67D75" w14:textId="77777777" w:rsidR="006F7355" w:rsidRPr="00AD2403" w:rsidRDefault="006F7355" w:rsidP="008813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367" w:type="pct"/>
            <w:vAlign w:val="center"/>
          </w:tcPr>
          <w:p w14:paraId="0CC7DD67" w14:textId="77777777" w:rsidR="006F7355" w:rsidRPr="00AD2403" w:rsidRDefault="006F7355" w:rsidP="008813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475" w:type="pct"/>
            <w:vAlign w:val="center"/>
          </w:tcPr>
          <w:p w14:paraId="6A858179" w14:textId="77777777" w:rsidR="006F7355" w:rsidRPr="00AD2403" w:rsidRDefault="006F7355" w:rsidP="0088135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</w:tbl>
    <w:p w14:paraId="35207610" w14:textId="00E918F0" w:rsidR="00306C55" w:rsidRDefault="006F7355" w:rsidP="00881352">
      <w:pPr>
        <w:pStyle w:val="ae"/>
        <w:numPr>
          <w:ilvl w:val="0"/>
          <w:numId w:val="1"/>
        </w:numPr>
        <w:spacing w:beforeLines="50" w:before="156" w:after="0" w:line="400" w:lineRule="exact"/>
        <w:ind w:left="442" w:hanging="442"/>
        <w:rPr>
          <w:rFonts w:ascii="宋体" w:eastAsia="宋体" w:hAnsi="宋体"/>
          <w:b/>
          <w:bCs/>
          <w:sz w:val="21"/>
          <w:szCs w:val="21"/>
        </w:rPr>
      </w:pPr>
      <w:r w:rsidRPr="006F7355">
        <w:rPr>
          <w:rFonts w:ascii="宋体" w:eastAsia="宋体" w:hAnsi="宋体"/>
          <w:b/>
          <w:bCs/>
          <w:sz w:val="21"/>
          <w:szCs w:val="21"/>
        </w:rPr>
        <w:t>专利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747"/>
        <w:gridCol w:w="1239"/>
        <w:gridCol w:w="1239"/>
        <w:gridCol w:w="1857"/>
        <w:gridCol w:w="3214"/>
      </w:tblGrid>
      <w:tr w:rsidR="006F7355" w14:paraId="5E379E4E" w14:textId="421B1C16" w:rsidTr="006F7355">
        <w:trPr>
          <w:jc w:val="center"/>
        </w:trPr>
        <w:tc>
          <w:tcPr>
            <w:tcW w:w="450" w:type="pct"/>
            <w:vAlign w:val="center"/>
          </w:tcPr>
          <w:p w14:paraId="1BE63B10" w14:textId="31D956EC" w:rsidR="006F7355" w:rsidRDefault="006F7355" w:rsidP="00881352">
            <w:pPr>
              <w:spacing w:beforeLines="100" w:before="312" w:line="40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747" w:type="pct"/>
            <w:vAlign w:val="center"/>
          </w:tcPr>
          <w:p w14:paraId="6A74A549" w14:textId="1461E0F1" w:rsidR="006F7355" w:rsidRDefault="006F7355" w:rsidP="00881352">
            <w:pPr>
              <w:spacing w:beforeLines="100" w:before="312" w:line="40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专利名称</w:t>
            </w:r>
          </w:p>
        </w:tc>
        <w:tc>
          <w:tcPr>
            <w:tcW w:w="747" w:type="pct"/>
            <w:vAlign w:val="center"/>
          </w:tcPr>
          <w:p w14:paraId="17F5BE82" w14:textId="1C68D6EE" w:rsidR="006F7355" w:rsidRDefault="006F7355" w:rsidP="00881352">
            <w:pPr>
              <w:spacing w:beforeLines="100" w:before="312" w:line="40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专利类型</w:t>
            </w:r>
          </w:p>
        </w:tc>
        <w:tc>
          <w:tcPr>
            <w:tcW w:w="1119" w:type="pct"/>
            <w:vAlign w:val="center"/>
          </w:tcPr>
          <w:p w14:paraId="499A44A9" w14:textId="44847DA5" w:rsidR="006F7355" w:rsidRDefault="006F7355" w:rsidP="00881352">
            <w:pPr>
              <w:spacing w:beforeLines="100" w:before="312" w:line="40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专利号/公开号</w:t>
            </w:r>
          </w:p>
        </w:tc>
        <w:tc>
          <w:tcPr>
            <w:tcW w:w="1937" w:type="pct"/>
            <w:vAlign w:val="center"/>
          </w:tcPr>
          <w:p w14:paraId="25115A00" w14:textId="1A41B12D" w:rsidR="006F7355" w:rsidRDefault="006F7355" w:rsidP="00881352">
            <w:pPr>
              <w:spacing w:beforeLines="100" w:before="312" w:line="40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排名（第1/2/3发明人等）</w:t>
            </w:r>
          </w:p>
        </w:tc>
      </w:tr>
      <w:tr w:rsidR="006F7355" w14:paraId="3FF3CF68" w14:textId="25B67BF5" w:rsidTr="006F7355">
        <w:trPr>
          <w:jc w:val="center"/>
        </w:trPr>
        <w:tc>
          <w:tcPr>
            <w:tcW w:w="450" w:type="pct"/>
            <w:vAlign w:val="center"/>
          </w:tcPr>
          <w:p w14:paraId="16C0F340" w14:textId="6536D453" w:rsidR="006F7355" w:rsidRDefault="006F7355" w:rsidP="00881352">
            <w:pPr>
              <w:spacing w:beforeLines="100" w:before="312" w:line="40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47" w:type="pct"/>
            <w:vAlign w:val="center"/>
          </w:tcPr>
          <w:p w14:paraId="03409AB9" w14:textId="77777777" w:rsidR="006F7355" w:rsidRPr="00AD2403" w:rsidRDefault="006F7355" w:rsidP="00881352">
            <w:pPr>
              <w:spacing w:beforeLines="100" w:before="312"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47" w:type="pct"/>
            <w:vAlign w:val="center"/>
          </w:tcPr>
          <w:p w14:paraId="607C4EB9" w14:textId="77777777" w:rsidR="006F7355" w:rsidRPr="00AD2403" w:rsidRDefault="006F7355" w:rsidP="00881352">
            <w:pPr>
              <w:spacing w:beforeLines="100" w:before="312"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9" w:type="pct"/>
            <w:vAlign w:val="center"/>
          </w:tcPr>
          <w:p w14:paraId="1BE4ECCC" w14:textId="77777777" w:rsidR="006F7355" w:rsidRPr="00AD2403" w:rsidRDefault="006F7355" w:rsidP="00881352">
            <w:pPr>
              <w:spacing w:beforeLines="100" w:before="312"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37" w:type="pct"/>
            <w:vAlign w:val="center"/>
          </w:tcPr>
          <w:p w14:paraId="64BE2431" w14:textId="77777777" w:rsidR="006F7355" w:rsidRPr="00AD2403" w:rsidRDefault="006F7355" w:rsidP="00881352">
            <w:pPr>
              <w:spacing w:beforeLines="100" w:before="312"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F7355" w14:paraId="327ADD05" w14:textId="6D7F62DC" w:rsidTr="006F7355">
        <w:trPr>
          <w:jc w:val="center"/>
        </w:trPr>
        <w:tc>
          <w:tcPr>
            <w:tcW w:w="450" w:type="pct"/>
            <w:vAlign w:val="center"/>
          </w:tcPr>
          <w:p w14:paraId="0768A433" w14:textId="037C7136" w:rsidR="006F7355" w:rsidRDefault="006F7355" w:rsidP="00881352">
            <w:pPr>
              <w:spacing w:beforeLines="100" w:before="312" w:line="40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747" w:type="pct"/>
            <w:vAlign w:val="center"/>
          </w:tcPr>
          <w:p w14:paraId="546FDCB7" w14:textId="77777777" w:rsidR="006F7355" w:rsidRPr="00AD2403" w:rsidRDefault="006F7355" w:rsidP="00881352">
            <w:pPr>
              <w:spacing w:beforeLines="100" w:before="312"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47" w:type="pct"/>
            <w:vAlign w:val="center"/>
          </w:tcPr>
          <w:p w14:paraId="62734E6A" w14:textId="77777777" w:rsidR="006F7355" w:rsidRPr="00AD2403" w:rsidRDefault="006F7355" w:rsidP="00881352">
            <w:pPr>
              <w:spacing w:beforeLines="100" w:before="312"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19" w:type="pct"/>
            <w:vAlign w:val="center"/>
          </w:tcPr>
          <w:p w14:paraId="7C9434F6" w14:textId="77777777" w:rsidR="006F7355" w:rsidRPr="00AD2403" w:rsidRDefault="006F7355" w:rsidP="00881352">
            <w:pPr>
              <w:spacing w:beforeLines="100" w:before="312"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37" w:type="pct"/>
            <w:vAlign w:val="center"/>
          </w:tcPr>
          <w:p w14:paraId="4B0083D0" w14:textId="77777777" w:rsidR="006F7355" w:rsidRPr="00AD2403" w:rsidRDefault="006F7355" w:rsidP="00881352">
            <w:pPr>
              <w:spacing w:beforeLines="100" w:before="312"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1ABABF70" w14:textId="77777777" w:rsidR="006F7355" w:rsidRPr="006F7355" w:rsidRDefault="006F7355" w:rsidP="00881352">
      <w:pPr>
        <w:spacing w:beforeLines="100" w:before="312" w:line="400" w:lineRule="exact"/>
        <w:rPr>
          <w:rFonts w:ascii="宋体" w:eastAsia="宋体" w:hAnsi="宋体"/>
          <w:b/>
          <w:bCs/>
          <w:sz w:val="21"/>
          <w:szCs w:val="21"/>
        </w:rPr>
      </w:pPr>
    </w:p>
    <w:sectPr w:rsidR="006F7355" w:rsidRPr="006F7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0E7A0" w14:textId="77777777" w:rsidR="00A31CF5" w:rsidRDefault="00A31CF5">
      <w:pPr>
        <w:spacing w:line="240" w:lineRule="auto"/>
      </w:pPr>
      <w:r>
        <w:separator/>
      </w:r>
    </w:p>
  </w:endnote>
  <w:endnote w:type="continuationSeparator" w:id="0">
    <w:p w14:paraId="0F5605D3" w14:textId="77777777" w:rsidR="00A31CF5" w:rsidRDefault="00A31C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D530" w14:textId="77777777" w:rsidR="00A31CF5" w:rsidRDefault="00A31CF5">
      <w:pPr>
        <w:spacing w:after="0"/>
      </w:pPr>
      <w:r>
        <w:separator/>
      </w:r>
    </w:p>
  </w:footnote>
  <w:footnote w:type="continuationSeparator" w:id="0">
    <w:p w14:paraId="48B94BD9" w14:textId="77777777" w:rsidR="00A31CF5" w:rsidRDefault="00A31C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146EA"/>
    <w:multiLevelType w:val="hybridMultilevel"/>
    <w:tmpl w:val="78969EE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4492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A1"/>
    <w:rsid w:val="00083F4A"/>
    <w:rsid w:val="000A7D5F"/>
    <w:rsid w:val="000F1104"/>
    <w:rsid w:val="001D1A7B"/>
    <w:rsid w:val="0023717B"/>
    <w:rsid w:val="002A6F46"/>
    <w:rsid w:val="002B2CA1"/>
    <w:rsid w:val="002E70AB"/>
    <w:rsid w:val="00306C55"/>
    <w:rsid w:val="003C1070"/>
    <w:rsid w:val="00524FF1"/>
    <w:rsid w:val="006F7355"/>
    <w:rsid w:val="00881352"/>
    <w:rsid w:val="009C502F"/>
    <w:rsid w:val="00A31CF5"/>
    <w:rsid w:val="00AD2403"/>
    <w:rsid w:val="00B92665"/>
    <w:rsid w:val="00C55DC6"/>
    <w:rsid w:val="00C71756"/>
    <w:rsid w:val="00CB4278"/>
    <w:rsid w:val="00D0214C"/>
    <w:rsid w:val="00E55890"/>
    <w:rsid w:val="00E72418"/>
    <w:rsid w:val="00E857E1"/>
    <w:rsid w:val="00EF53BA"/>
    <w:rsid w:val="00FA6D9C"/>
    <w:rsid w:val="00FC2697"/>
    <w:rsid w:val="1CEB5A62"/>
    <w:rsid w:val="5F883ACE"/>
    <w:rsid w:val="75DF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EE5AE"/>
  <w15:docId w15:val="{68CC8B2B-24E7-4CA9-A1C3-F84D1EED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a6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4">
    <w:name w:val="页眉 字符"/>
    <w:basedOn w:val="a0"/>
    <w:link w:val="a3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6F7355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unhideWhenUsed/>
    <w:rsid w:val="006F7355"/>
  </w:style>
  <w:style w:type="character" w:customStyle="1" w:styleId="af3">
    <w:name w:val="批注文字 字符"/>
    <w:basedOn w:val="a0"/>
    <w:link w:val="af2"/>
    <w:uiPriority w:val="99"/>
    <w:semiHidden/>
    <w:rsid w:val="006F7355"/>
    <w:rPr>
      <w:kern w:val="2"/>
      <w:sz w:val="22"/>
      <w:szCs w:val="24"/>
      <w14:ligatures w14:val="standardContextual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F7355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6F7355"/>
    <w:rPr>
      <w:b/>
      <w:bCs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敏敏 姚</dc:creator>
  <cp:lastModifiedBy>dqguo</cp:lastModifiedBy>
  <cp:revision>3</cp:revision>
  <dcterms:created xsi:type="dcterms:W3CDTF">2026-05-14T10:17:00Z</dcterms:created>
  <dcterms:modified xsi:type="dcterms:W3CDTF">2026-05-14T10:38:00Z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eyJoZGlkIjoiYTU5MGM0ZGFhODI2NmZkZmRhY2FhMGRiM2YzNDYzZDgiLCJ1c2VySWQiOiIxMzc0NDE2NjAyNTgifQ==</vt:lpwstr>
  </property>
  <property fmtid="{D5CDD505-2E9C-101B-9397-08002B2CF9AE}" pid="3" name="KSOProductBuildVer">
    <vt:lpwstr>3076-12.1.0.26372</vt:lpwstr>
  </property>
  <property fmtid="{D5CDD505-2E9C-101B-9397-08002B2CF9AE}" pid="4" name="ICV">
    <vt:lpwstr>3BAB8735C48646A0B3B3238FCDB24308_12</vt:lpwstr>
  </property>
</Properties>
</file>